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9274" w14:textId="0FF731A3" w:rsidR="0075413C" w:rsidRPr="0075413C" w:rsidRDefault="0075413C" w:rsidP="0075413C">
      <w:pPr>
        <w:jc w:val="center"/>
      </w:pPr>
      <w:r>
        <w:rPr>
          <w:b/>
          <w:bCs/>
          <w:noProof/>
        </w:rPr>
        <mc:AlternateContent>
          <mc:Choice Requires="wps">
            <w:drawing>
              <wp:anchor distT="0" distB="0" distL="114300" distR="114300" simplePos="0" relativeHeight="251659264" behindDoc="0" locked="0" layoutInCell="1" allowOverlap="1" wp14:anchorId="19380466" wp14:editId="369E7C02">
                <wp:simplePos x="0" y="0"/>
                <wp:positionH relativeFrom="column">
                  <wp:posOffset>-303959</wp:posOffset>
                </wp:positionH>
                <wp:positionV relativeFrom="paragraph">
                  <wp:posOffset>276447</wp:posOffset>
                </wp:positionV>
                <wp:extent cx="6390167" cy="21265"/>
                <wp:effectExtent l="0" t="0" r="29845" b="36195"/>
                <wp:wrapNone/>
                <wp:docPr id="609373065" name="Conector recto 1"/>
                <wp:cNvGraphicFramePr/>
                <a:graphic xmlns:a="http://schemas.openxmlformats.org/drawingml/2006/main">
                  <a:graphicData uri="http://schemas.microsoft.com/office/word/2010/wordprocessingShape">
                    <wps:wsp>
                      <wps:cNvCnPr/>
                      <wps:spPr>
                        <a:xfrm>
                          <a:off x="0" y="0"/>
                          <a:ext cx="6390167" cy="212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415C3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95pt,21.75pt" to="479.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" strokecolor="#156082 [3204]" strokeweight="1.5pt">
                <v:stroke joinstyle="miter"/>
              </v:line>
            </w:pict>
          </mc:Fallback>
        </mc:AlternateContent>
      </w:r>
      <w:r w:rsidRPr="0075413C">
        <w:rPr>
          <w:b/>
          <w:bCs/>
        </w:rPr>
        <w:t>ÁREA ACADÉMICA Y ASISTENCIA</w:t>
      </w:r>
    </w:p>
    <w:p w14:paraId="1C103606" w14:textId="72E7DC4A" w:rsidR="0075413C" w:rsidRPr="0075413C" w:rsidRDefault="0075413C" w:rsidP="0075413C">
      <w:pPr>
        <w:jc w:val="both"/>
      </w:pPr>
    </w:p>
    <w:p w14:paraId="34F53B67" w14:textId="33007102" w:rsidR="0075413C" w:rsidRPr="0075413C" w:rsidRDefault="0075413C" w:rsidP="0075413C">
      <w:pPr>
        <w:pStyle w:val="Prrafodelista"/>
        <w:numPr>
          <w:ilvl w:val="0"/>
          <w:numId w:val="3"/>
        </w:numPr>
        <w:jc w:val="both"/>
        <w:rPr>
          <w:b/>
          <w:bCs/>
        </w:rPr>
      </w:pPr>
      <w:r w:rsidRPr="0075413C">
        <w:rPr>
          <w:b/>
          <w:bCs/>
        </w:rPr>
        <w:t>PROTOCOLO DE ABORDAJE DE ASISTENCIA DE ESTUDIANTES</w:t>
      </w:r>
    </w:p>
    <w:p w14:paraId="3EF4B33D" w14:textId="77777777" w:rsidR="0075413C" w:rsidRPr="0075413C" w:rsidRDefault="0075413C" w:rsidP="0075413C">
      <w:pPr>
        <w:jc w:val="both"/>
      </w:pPr>
      <w:r w:rsidRPr="0075413C">
        <w:t xml:space="preserve">Según el Decreto Exento </w:t>
      </w:r>
      <w:proofErr w:type="spellStart"/>
      <w:r w:rsidRPr="0075413C">
        <w:t>N°</w:t>
      </w:r>
      <w:proofErr w:type="spellEnd"/>
      <w:r w:rsidRPr="0075413C">
        <w:t xml:space="preserve"> 67/2018, que regula las normas mínimas de evaluación, calificación y promoción, el artículo 10 establece que los y las estudiantes serán promovidos si tienen una asistencia igual o superior al 85% en las actividades previstas en el calendario escolar anual.</w:t>
      </w:r>
    </w:p>
    <w:p w14:paraId="4C8CF650" w14:textId="77777777" w:rsidR="0075413C" w:rsidRPr="0075413C" w:rsidRDefault="0075413C" w:rsidP="0075413C">
      <w:pPr>
        <w:jc w:val="both"/>
      </w:pPr>
      <w:r w:rsidRPr="0075413C">
        <w:t> </w:t>
      </w:r>
      <w:r w:rsidRPr="0075413C">
        <w:tab/>
        <w:t>Se aclara que, si un estudiante presenta licencias médicas, estas no anulan las inasistencias, sólo la justifican.</w:t>
      </w:r>
    </w:p>
    <w:p w14:paraId="56D23C05" w14:textId="77777777" w:rsidR="0075413C" w:rsidRPr="0075413C" w:rsidRDefault="0075413C" w:rsidP="0075413C">
      <w:pPr>
        <w:jc w:val="both"/>
        <w:rPr>
          <w:b/>
          <w:bCs/>
        </w:rPr>
      </w:pPr>
      <w:proofErr w:type="gramStart"/>
      <w:r w:rsidRPr="0075413C">
        <w:rPr>
          <w:b/>
          <w:bCs/>
        </w:rPr>
        <w:t>Pasos a Seguir</w:t>
      </w:r>
      <w:proofErr w:type="gramEnd"/>
      <w:r w:rsidRPr="0075413C">
        <w:rPr>
          <w:b/>
          <w:bCs/>
        </w:rPr>
        <w:t xml:space="preserve"> en Caso de Inasistencias</w:t>
      </w:r>
    </w:p>
    <w:p w14:paraId="5A55674D" w14:textId="77777777" w:rsidR="0075413C" w:rsidRPr="0075413C" w:rsidRDefault="0075413C" w:rsidP="0075413C">
      <w:pPr>
        <w:numPr>
          <w:ilvl w:val="0"/>
          <w:numId w:val="2"/>
        </w:numPr>
        <w:jc w:val="both"/>
      </w:pPr>
      <w:r w:rsidRPr="0075413C">
        <w:rPr>
          <w:b/>
          <w:bCs/>
        </w:rPr>
        <w:t>Justificación de Inasistencia</w:t>
      </w:r>
    </w:p>
    <w:p w14:paraId="1968ECDC" w14:textId="77777777" w:rsidR="0075413C" w:rsidRPr="0075413C" w:rsidRDefault="0075413C" w:rsidP="0075413C">
      <w:pPr>
        <w:numPr>
          <w:ilvl w:val="1"/>
          <w:numId w:val="2"/>
        </w:numPr>
        <w:jc w:val="both"/>
      </w:pPr>
      <w:r w:rsidRPr="0075413C">
        <w:t>El apoderado debe enviar, el día siguiente a la inasistencia, la licencia médica si el estudiante asistió a un centro de salud. En caso contrario, debe presentar un justificativo escrito.</w:t>
      </w:r>
    </w:p>
    <w:p w14:paraId="69537F5F" w14:textId="77777777" w:rsidR="0075413C" w:rsidRPr="0075413C" w:rsidRDefault="0075413C" w:rsidP="0075413C">
      <w:pPr>
        <w:numPr>
          <w:ilvl w:val="1"/>
          <w:numId w:val="2"/>
        </w:numPr>
        <w:jc w:val="both"/>
      </w:pPr>
      <w:r w:rsidRPr="0075413C">
        <w:t>El estudiante deberá entregar el certificado médico al profesor jefe.</w:t>
      </w:r>
    </w:p>
    <w:p w14:paraId="434A5C58" w14:textId="77777777" w:rsidR="0075413C" w:rsidRPr="0075413C" w:rsidRDefault="0075413C" w:rsidP="0075413C">
      <w:pPr>
        <w:numPr>
          <w:ilvl w:val="0"/>
          <w:numId w:val="2"/>
        </w:numPr>
        <w:jc w:val="both"/>
      </w:pPr>
      <w:r w:rsidRPr="0075413C">
        <w:rPr>
          <w:b/>
          <w:bCs/>
        </w:rPr>
        <w:t>Inasistencias No Justificadas</w:t>
      </w:r>
    </w:p>
    <w:p w14:paraId="2E0C317B" w14:textId="1BF0709D" w:rsidR="0075413C" w:rsidRPr="0075413C" w:rsidRDefault="0075413C" w:rsidP="0075413C">
      <w:pPr>
        <w:numPr>
          <w:ilvl w:val="1"/>
          <w:numId w:val="2"/>
        </w:numPr>
        <w:jc w:val="both"/>
      </w:pPr>
      <w:r w:rsidRPr="0075413C">
        <w:t xml:space="preserve">Las inasistencias se considerarán según el artículo 24 del RICE, capítulo </w:t>
      </w:r>
    </w:p>
    <w:tbl>
      <w:tblPr>
        <w:tblW w:w="0" w:type="auto"/>
        <w:tblCellMar>
          <w:top w:w="15" w:type="dxa"/>
          <w:left w:w="15" w:type="dxa"/>
          <w:bottom w:w="15" w:type="dxa"/>
          <w:right w:w="15" w:type="dxa"/>
        </w:tblCellMar>
        <w:tblLook w:val="04A0" w:firstRow="1" w:lastRow="0" w:firstColumn="1" w:lastColumn="0" w:noHBand="0" w:noVBand="1"/>
      </w:tblPr>
      <w:tblGrid>
        <w:gridCol w:w="1520"/>
        <w:gridCol w:w="3573"/>
        <w:gridCol w:w="2041"/>
        <w:gridCol w:w="1694"/>
      </w:tblGrid>
      <w:tr w:rsidR="0075413C" w:rsidRPr="0075413C" w14:paraId="4B521AE1" w14:textId="77777777" w:rsidTr="0075413C">
        <w:trPr>
          <w:trHeight w:val="272"/>
        </w:trPr>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24D2F90D" w14:textId="77777777" w:rsidR="0075413C" w:rsidRPr="0075413C" w:rsidRDefault="0075413C" w:rsidP="0075413C">
            <w:pPr>
              <w:spacing w:after="0" w:line="0" w:lineRule="atLeast"/>
              <w:jc w:val="both"/>
              <w:rPr>
                <w:sz w:val="22"/>
                <w:szCs w:val="22"/>
              </w:rPr>
            </w:pPr>
            <w:r w:rsidRPr="0075413C">
              <w:rPr>
                <w:b/>
                <w:bCs/>
                <w:sz w:val="22"/>
                <w:szCs w:val="22"/>
              </w:rPr>
              <w:t>Proceso</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4CA9387F" w14:textId="77777777" w:rsidR="0075413C" w:rsidRPr="0075413C" w:rsidRDefault="0075413C" w:rsidP="0075413C">
            <w:pPr>
              <w:spacing w:after="0" w:line="0" w:lineRule="atLeast"/>
              <w:jc w:val="both"/>
              <w:rPr>
                <w:sz w:val="22"/>
                <w:szCs w:val="22"/>
              </w:rPr>
            </w:pPr>
            <w:r w:rsidRPr="0075413C">
              <w:rPr>
                <w:b/>
                <w:bCs/>
                <w:sz w:val="22"/>
                <w:szCs w:val="22"/>
              </w:rPr>
              <w:t>Acción</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12E932A3" w14:textId="77777777" w:rsidR="0075413C" w:rsidRPr="0075413C" w:rsidRDefault="0075413C" w:rsidP="0075413C">
            <w:pPr>
              <w:spacing w:after="0" w:line="0" w:lineRule="atLeast"/>
              <w:jc w:val="both"/>
              <w:rPr>
                <w:sz w:val="22"/>
                <w:szCs w:val="22"/>
              </w:rPr>
            </w:pPr>
            <w:r w:rsidRPr="0075413C">
              <w:rPr>
                <w:b/>
                <w:bCs/>
                <w:sz w:val="22"/>
                <w:szCs w:val="22"/>
              </w:rPr>
              <w:t>Tiempo</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17484A2B" w14:textId="77777777" w:rsidR="0075413C" w:rsidRPr="0075413C" w:rsidRDefault="0075413C" w:rsidP="0075413C">
            <w:pPr>
              <w:spacing w:after="0" w:line="0" w:lineRule="atLeast"/>
              <w:jc w:val="both"/>
              <w:rPr>
                <w:sz w:val="22"/>
                <w:szCs w:val="22"/>
              </w:rPr>
            </w:pPr>
            <w:r w:rsidRPr="0075413C">
              <w:rPr>
                <w:b/>
                <w:bCs/>
                <w:sz w:val="22"/>
                <w:szCs w:val="22"/>
              </w:rPr>
              <w:t>Responsable</w:t>
            </w:r>
          </w:p>
        </w:tc>
      </w:tr>
      <w:tr w:rsidR="0075413C" w:rsidRPr="0075413C" w14:paraId="35FD3277" w14:textId="77777777" w:rsidTr="0075413C">
        <w:trPr>
          <w:trHeight w:val="7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DF99D" w14:textId="77777777" w:rsidR="0075413C" w:rsidRPr="0075413C" w:rsidRDefault="0075413C" w:rsidP="0075413C">
            <w:pPr>
              <w:spacing w:after="0" w:line="0" w:lineRule="atLeast"/>
              <w:jc w:val="both"/>
              <w:rPr>
                <w:sz w:val="22"/>
                <w:szCs w:val="22"/>
              </w:rPr>
            </w:pPr>
          </w:p>
          <w:p w14:paraId="09BDC7A4" w14:textId="77777777" w:rsidR="0075413C" w:rsidRPr="0075413C" w:rsidRDefault="0075413C" w:rsidP="0075413C">
            <w:pPr>
              <w:spacing w:after="0" w:line="0" w:lineRule="atLeast"/>
              <w:jc w:val="both"/>
              <w:rPr>
                <w:sz w:val="22"/>
                <w:szCs w:val="22"/>
              </w:rPr>
            </w:pPr>
            <w:r w:rsidRPr="0075413C">
              <w:rPr>
                <w:b/>
                <w:bCs/>
                <w:sz w:val="22"/>
                <w:szCs w:val="22"/>
              </w:rPr>
              <w:t>Detección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09C9E" w14:textId="77777777" w:rsidR="0075413C" w:rsidRPr="0075413C" w:rsidRDefault="0075413C" w:rsidP="0075413C">
            <w:pPr>
              <w:spacing w:after="0" w:line="0" w:lineRule="atLeast"/>
              <w:jc w:val="both"/>
              <w:rPr>
                <w:sz w:val="22"/>
                <w:szCs w:val="22"/>
              </w:rPr>
            </w:pPr>
            <w:r w:rsidRPr="0075413C">
              <w:rPr>
                <w:sz w:val="22"/>
                <w:szCs w:val="22"/>
              </w:rPr>
              <w:t>Registrar la inasistencia en el sistema.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54286" w14:textId="77777777" w:rsidR="0075413C" w:rsidRPr="0075413C" w:rsidRDefault="0075413C" w:rsidP="0075413C">
            <w:pPr>
              <w:spacing w:after="0" w:line="0" w:lineRule="atLeast"/>
              <w:jc w:val="both"/>
              <w:rPr>
                <w:sz w:val="22"/>
                <w:szCs w:val="22"/>
              </w:rPr>
            </w:pPr>
            <w:r w:rsidRPr="0075413C">
              <w:rPr>
                <w:sz w:val="22"/>
                <w:szCs w:val="22"/>
              </w:rPr>
              <w:t>La ausencia a clases deberá ser justificado dentro de 24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5E273" w14:textId="77777777" w:rsidR="0075413C" w:rsidRPr="0075413C" w:rsidRDefault="0075413C" w:rsidP="0075413C">
            <w:pPr>
              <w:spacing w:after="0" w:line="0" w:lineRule="atLeast"/>
              <w:jc w:val="both"/>
              <w:rPr>
                <w:sz w:val="22"/>
                <w:szCs w:val="22"/>
              </w:rPr>
            </w:pPr>
            <w:r w:rsidRPr="0075413C">
              <w:rPr>
                <w:sz w:val="22"/>
                <w:szCs w:val="22"/>
              </w:rPr>
              <w:t>Inspectoría General</w:t>
            </w:r>
          </w:p>
        </w:tc>
      </w:tr>
      <w:tr w:rsidR="0075413C" w:rsidRPr="0075413C" w14:paraId="024B00BA" w14:textId="77777777" w:rsidTr="0075413C">
        <w:trPr>
          <w:trHeight w:val="7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85CD28" w14:textId="77777777" w:rsidR="0075413C" w:rsidRPr="0075413C" w:rsidRDefault="0075413C" w:rsidP="0075413C">
            <w:pPr>
              <w:spacing w:after="0" w:line="0" w:lineRule="atLeast"/>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C4DC7" w14:textId="77777777" w:rsidR="0075413C" w:rsidRPr="0075413C" w:rsidRDefault="0075413C" w:rsidP="0075413C">
            <w:pPr>
              <w:spacing w:after="0" w:line="0" w:lineRule="atLeast"/>
              <w:jc w:val="both"/>
              <w:rPr>
                <w:sz w:val="22"/>
                <w:szCs w:val="22"/>
              </w:rPr>
            </w:pPr>
            <w:r w:rsidRPr="0075413C">
              <w:rPr>
                <w:sz w:val="22"/>
                <w:szCs w:val="22"/>
              </w:rPr>
              <w:t>Se realiza llamado telefónico para conocer la causa de la inasistencia con el apoderado/a.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8164" w14:textId="77777777" w:rsidR="0075413C" w:rsidRPr="0075413C" w:rsidRDefault="0075413C" w:rsidP="0075413C">
            <w:pPr>
              <w:spacing w:after="0" w:line="0" w:lineRule="atLeast"/>
              <w:jc w:val="both"/>
              <w:rPr>
                <w:sz w:val="22"/>
                <w:szCs w:val="22"/>
              </w:rPr>
            </w:pPr>
            <w:r w:rsidRPr="0075413C">
              <w:rPr>
                <w:sz w:val="22"/>
                <w:szCs w:val="22"/>
              </w:rPr>
              <w:t>Inmediato luego de primera inasistencia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0B8B7" w14:textId="77777777" w:rsidR="0075413C" w:rsidRPr="0075413C" w:rsidRDefault="0075413C" w:rsidP="0075413C">
            <w:pPr>
              <w:spacing w:after="0" w:line="0" w:lineRule="atLeast"/>
              <w:jc w:val="both"/>
              <w:rPr>
                <w:sz w:val="22"/>
                <w:szCs w:val="22"/>
              </w:rPr>
            </w:pPr>
            <w:r w:rsidRPr="0075413C">
              <w:rPr>
                <w:sz w:val="22"/>
                <w:szCs w:val="22"/>
              </w:rPr>
              <w:t>Inspectoría General</w:t>
            </w:r>
          </w:p>
        </w:tc>
      </w:tr>
      <w:tr w:rsidR="0075413C" w:rsidRPr="0075413C" w14:paraId="1D8EFF50" w14:textId="77777777" w:rsidTr="0075413C">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67948C" w14:textId="77777777" w:rsidR="0075413C" w:rsidRPr="0075413C" w:rsidRDefault="0075413C" w:rsidP="0075413C">
            <w:pPr>
              <w:spacing w:after="0" w:line="0" w:lineRule="atLeast"/>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A8273" w14:textId="77777777" w:rsidR="0075413C" w:rsidRPr="0075413C" w:rsidRDefault="0075413C" w:rsidP="0075413C">
            <w:pPr>
              <w:spacing w:after="0" w:line="0" w:lineRule="atLeast"/>
              <w:jc w:val="both"/>
              <w:rPr>
                <w:sz w:val="22"/>
                <w:szCs w:val="22"/>
              </w:rPr>
            </w:pPr>
            <w:r w:rsidRPr="0075413C">
              <w:rPr>
                <w:sz w:val="22"/>
                <w:szCs w:val="22"/>
              </w:rPr>
              <w:t>Registro de la información en la planilla de seguimiento correspondiente.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B3A1C" w14:textId="77777777" w:rsidR="0075413C" w:rsidRPr="0075413C" w:rsidRDefault="0075413C" w:rsidP="0075413C">
            <w:pPr>
              <w:spacing w:after="0" w:line="0" w:lineRule="atLeast"/>
              <w:jc w:val="both"/>
              <w:rPr>
                <w:sz w:val="22"/>
                <w:szCs w:val="22"/>
              </w:rPr>
            </w:pPr>
            <w:r w:rsidRPr="0075413C">
              <w:rPr>
                <w:sz w:val="22"/>
                <w:szCs w:val="22"/>
              </w:rPr>
              <w:t>3 días desde la inasistencia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13730" w14:textId="77777777" w:rsidR="0075413C" w:rsidRPr="0075413C" w:rsidRDefault="0075413C" w:rsidP="0075413C">
            <w:pPr>
              <w:spacing w:after="0" w:line="0" w:lineRule="atLeast"/>
              <w:jc w:val="both"/>
              <w:rPr>
                <w:sz w:val="22"/>
                <w:szCs w:val="22"/>
              </w:rPr>
            </w:pPr>
            <w:r w:rsidRPr="0075413C">
              <w:rPr>
                <w:sz w:val="22"/>
                <w:szCs w:val="22"/>
              </w:rPr>
              <w:t>Inspectoría General</w:t>
            </w:r>
          </w:p>
        </w:tc>
      </w:tr>
      <w:tr w:rsidR="0075413C" w:rsidRPr="0075413C" w14:paraId="03F97C0A" w14:textId="77777777" w:rsidTr="0075413C">
        <w:trPr>
          <w:trHeight w:val="38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54F7F" w14:textId="77777777" w:rsidR="0075413C" w:rsidRPr="0075413C" w:rsidRDefault="0075413C" w:rsidP="0075413C">
            <w:pPr>
              <w:spacing w:after="0" w:line="0" w:lineRule="atLeast"/>
              <w:jc w:val="both"/>
              <w:rPr>
                <w:sz w:val="22"/>
                <w:szCs w:val="22"/>
              </w:rPr>
            </w:pPr>
          </w:p>
          <w:p w14:paraId="25276DCA" w14:textId="77777777" w:rsidR="0075413C" w:rsidRPr="0075413C" w:rsidRDefault="0075413C" w:rsidP="0075413C">
            <w:pPr>
              <w:spacing w:after="0" w:line="0" w:lineRule="atLeast"/>
              <w:jc w:val="both"/>
              <w:rPr>
                <w:sz w:val="22"/>
                <w:szCs w:val="22"/>
              </w:rPr>
            </w:pPr>
            <w:r w:rsidRPr="0075413C">
              <w:rPr>
                <w:b/>
                <w:bCs/>
                <w:sz w:val="22"/>
                <w:szCs w:val="22"/>
              </w:rPr>
              <w:t>Indagación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BB020" w14:textId="77777777" w:rsidR="0075413C" w:rsidRPr="0075413C" w:rsidRDefault="0075413C" w:rsidP="0075413C">
            <w:pPr>
              <w:spacing w:after="0" w:line="0" w:lineRule="atLeast"/>
              <w:jc w:val="both"/>
              <w:rPr>
                <w:sz w:val="22"/>
                <w:szCs w:val="22"/>
              </w:rPr>
            </w:pPr>
            <w:r w:rsidRPr="0075413C">
              <w:rPr>
                <w:sz w:val="22"/>
                <w:szCs w:val="22"/>
              </w:rPr>
              <w:t>Citación a entrevistas con los apoderados y el estudiante para evaluar causas de la inasistencia.  En caso de no asistir, se realizará visita domiciliaria.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0C258" w14:textId="77777777" w:rsidR="0075413C" w:rsidRPr="0075413C" w:rsidRDefault="0075413C" w:rsidP="0075413C">
            <w:pPr>
              <w:spacing w:after="0" w:line="0" w:lineRule="atLeast"/>
              <w:jc w:val="both"/>
              <w:rPr>
                <w:sz w:val="22"/>
                <w:szCs w:val="22"/>
              </w:rPr>
            </w:pPr>
            <w:r w:rsidRPr="0075413C">
              <w:rPr>
                <w:sz w:val="22"/>
                <w:szCs w:val="22"/>
              </w:rPr>
              <w:t>3 días desde la inasistencia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C9A96" w14:textId="77777777" w:rsidR="0075413C" w:rsidRPr="0075413C" w:rsidRDefault="0075413C" w:rsidP="0075413C">
            <w:pPr>
              <w:spacing w:after="0" w:line="0" w:lineRule="atLeast"/>
              <w:jc w:val="both"/>
              <w:rPr>
                <w:sz w:val="22"/>
                <w:szCs w:val="22"/>
              </w:rPr>
            </w:pPr>
            <w:r w:rsidRPr="0075413C">
              <w:rPr>
                <w:sz w:val="22"/>
                <w:szCs w:val="22"/>
              </w:rPr>
              <w:t xml:space="preserve">Profesor </w:t>
            </w:r>
            <w:proofErr w:type="gramStart"/>
            <w:r w:rsidRPr="0075413C">
              <w:rPr>
                <w:sz w:val="22"/>
                <w:szCs w:val="22"/>
              </w:rPr>
              <w:t>Jefe</w:t>
            </w:r>
            <w:proofErr w:type="gramEnd"/>
          </w:p>
          <w:p w14:paraId="644346A1" w14:textId="77777777" w:rsidR="0075413C" w:rsidRPr="0075413C" w:rsidRDefault="0075413C" w:rsidP="0075413C">
            <w:pPr>
              <w:spacing w:after="0" w:line="0" w:lineRule="atLeast"/>
              <w:jc w:val="both"/>
              <w:rPr>
                <w:sz w:val="22"/>
                <w:szCs w:val="22"/>
              </w:rPr>
            </w:pPr>
            <w:r w:rsidRPr="0075413C">
              <w:rPr>
                <w:sz w:val="22"/>
                <w:szCs w:val="22"/>
              </w:rPr>
              <w:t>Trabajador Social</w:t>
            </w:r>
          </w:p>
        </w:tc>
      </w:tr>
      <w:tr w:rsidR="0075413C" w:rsidRPr="0075413C" w14:paraId="49E7E112" w14:textId="77777777" w:rsidTr="0075413C">
        <w:trPr>
          <w:trHeight w:val="3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82E2D" w14:textId="77777777" w:rsidR="0075413C" w:rsidRPr="0075413C" w:rsidRDefault="0075413C" w:rsidP="0075413C">
            <w:pPr>
              <w:spacing w:after="0" w:line="0" w:lineRule="atLeast"/>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4412" w14:textId="77777777" w:rsidR="0075413C" w:rsidRPr="0075413C" w:rsidRDefault="0075413C" w:rsidP="0075413C">
            <w:pPr>
              <w:spacing w:after="0" w:line="0" w:lineRule="atLeast"/>
              <w:jc w:val="both"/>
              <w:rPr>
                <w:sz w:val="22"/>
                <w:szCs w:val="22"/>
              </w:rPr>
            </w:pPr>
            <w:r w:rsidRPr="0075413C">
              <w:rPr>
                <w:sz w:val="22"/>
                <w:szCs w:val="22"/>
              </w:rPr>
              <w:t>Evaluar situación psicosocial, familiar o médica del estudiante.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04A92" w14:textId="77777777" w:rsidR="0075413C" w:rsidRPr="0075413C" w:rsidRDefault="0075413C" w:rsidP="0075413C">
            <w:pPr>
              <w:spacing w:after="0" w:line="0" w:lineRule="atLeast"/>
              <w:jc w:val="both"/>
              <w:rPr>
                <w:sz w:val="22"/>
                <w:szCs w:val="22"/>
              </w:rPr>
            </w:pPr>
            <w:r w:rsidRPr="0075413C">
              <w:rPr>
                <w:sz w:val="22"/>
                <w:szCs w:val="22"/>
              </w:rPr>
              <w:t>3 días desde la inasistencia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98953" w14:textId="77777777" w:rsidR="0075413C" w:rsidRPr="0075413C" w:rsidRDefault="0075413C" w:rsidP="0075413C">
            <w:pPr>
              <w:spacing w:after="0" w:line="0" w:lineRule="atLeast"/>
              <w:jc w:val="both"/>
              <w:rPr>
                <w:sz w:val="22"/>
                <w:szCs w:val="22"/>
              </w:rPr>
            </w:pPr>
            <w:r w:rsidRPr="0075413C">
              <w:rPr>
                <w:sz w:val="22"/>
                <w:szCs w:val="22"/>
              </w:rPr>
              <w:t>Trabajador Social, Psicólogo </w:t>
            </w:r>
          </w:p>
          <w:p w14:paraId="5205F72A" w14:textId="77777777" w:rsidR="0075413C" w:rsidRPr="0075413C" w:rsidRDefault="0075413C" w:rsidP="0075413C">
            <w:pPr>
              <w:spacing w:after="0" w:line="0" w:lineRule="atLeast"/>
              <w:jc w:val="both"/>
              <w:rPr>
                <w:sz w:val="22"/>
                <w:szCs w:val="22"/>
              </w:rPr>
            </w:pPr>
          </w:p>
        </w:tc>
      </w:tr>
      <w:tr w:rsidR="0075413C" w:rsidRPr="0075413C" w14:paraId="6296FCC5" w14:textId="77777777" w:rsidTr="0075413C">
        <w:trPr>
          <w:trHeight w:val="91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4F12" w14:textId="77777777" w:rsidR="0075413C" w:rsidRPr="0075413C" w:rsidRDefault="0075413C" w:rsidP="0075413C">
            <w:pPr>
              <w:spacing w:after="0" w:line="0" w:lineRule="atLeast"/>
              <w:jc w:val="both"/>
              <w:rPr>
                <w:sz w:val="22"/>
                <w:szCs w:val="22"/>
              </w:rPr>
            </w:pPr>
          </w:p>
          <w:p w14:paraId="56905615" w14:textId="77777777" w:rsidR="0075413C" w:rsidRPr="0075413C" w:rsidRDefault="0075413C" w:rsidP="0075413C">
            <w:pPr>
              <w:spacing w:after="0" w:line="0" w:lineRule="atLeast"/>
              <w:jc w:val="both"/>
              <w:rPr>
                <w:sz w:val="22"/>
                <w:szCs w:val="22"/>
              </w:rPr>
            </w:pPr>
            <w:r w:rsidRPr="0075413C">
              <w:rPr>
                <w:b/>
                <w:bCs/>
                <w:sz w:val="22"/>
                <w:szCs w:val="22"/>
              </w:rPr>
              <w:t>Compromiso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336B9" w14:textId="77777777" w:rsidR="0075413C" w:rsidRPr="0075413C" w:rsidRDefault="0075413C" w:rsidP="0075413C">
            <w:pPr>
              <w:spacing w:after="0" w:line="0" w:lineRule="atLeast"/>
              <w:jc w:val="both"/>
              <w:rPr>
                <w:sz w:val="22"/>
                <w:szCs w:val="22"/>
              </w:rPr>
            </w:pPr>
            <w:r w:rsidRPr="0075413C">
              <w:rPr>
                <w:sz w:val="22"/>
                <w:szCs w:val="22"/>
              </w:rPr>
              <w:t>Establecer compromisos según el Reglamento Interno con los apoderados y el estudiante para mejorar la 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741E7" w14:textId="77777777" w:rsidR="0075413C" w:rsidRPr="0075413C" w:rsidRDefault="0075413C" w:rsidP="0075413C">
            <w:pPr>
              <w:spacing w:after="0" w:line="0" w:lineRule="atLeast"/>
              <w:jc w:val="both"/>
              <w:rPr>
                <w:sz w:val="22"/>
                <w:szCs w:val="22"/>
              </w:rPr>
            </w:pPr>
            <w:r w:rsidRPr="0075413C">
              <w:rPr>
                <w:sz w:val="22"/>
                <w:szCs w:val="22"/>
              </w:rPr>
              <w:t>4 día de inasistencia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82DEE" w14:textId="77777777" w:rsidR="0075413C" w:rsidRPr="0075413C" w:rsidRDefault="0075413C" w:rsidP="0075413C">
            <w:pPr>
              <w:spacing w:after="0" w:line="0" w:lineRule="atLeast"/>
              <w:jc w:val="both"/>
              <w:rPr>
                <w:sz w:val="22"/>
                <w:szCs w:val="22"/>
              </w:rPr>
            </w:pPr>
            <w:r w:rsidRPr="0075413C">
              <w:rPr>
                <w:sz w:val="22"/>
                <w:szCs w:val="22"/>
              </w:rPr>
              <w:t>Convivencia Educativa</w:t>
            </w:r>
          </w:p>
        </w:tc>
      </w:tr>
      <w:tr w:rsidR="0075413C" w:rsidRPr="0075413C" w14:paraId="2CA725FF" w14:textId="77777777" w:rsidTr="0075413C">
        <w:trPr>
          <w:trHeight w:val="9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BEE54" w14:textId="77777777" w:rsidR="0075413C" w:rsidRPr="0075413C" w:rsidRDefault="0075413C" w:rsidP="0075413C">
            <w:pPr>
              <w:spacing w:after="0" w:line="0" w:lineRule="atLeast"/>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2E169" w14:textId="77777777" w:rsidR="0075413C" w:rsidRPr="0075413C" w:rsidRDefault="0075413C" w:rsidP="0075413C">
            <w:pPr>
              <w:spacing w:after="0" w:line="0" w:lineRule="atLeast"/>
              <w:jc w:val="both"/>
              <w:rPr>
                <w:sz w:val="22"/>
                <w:szCs w:val="22"/>
              </w:rPr>
            </w:pPr>
            <w:r w:rsidRPr="0075413C">
              <w:rPr>
                <w:sz w:val="22"/>
                <w:szCs w:val="22"/>
              </w:rPr>
              <w:t>Seguimiento de los compromisos adquiridos (ejemplo: actividades de recuperación, tutorías, apoyo emocional,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E4B45" w14:textId="77777777" w:rsidR="0075413C" w:rsidRPr="0075413C" w:rsidRDefault="0075413C" w:rsidP="0075413C">
            <w:pPr>
              <w:spacing w:after="0" w:line="0" w:lineRule="atLeast"/>
              <w:jc w:val="both"/>
              <w:rPr>
                <w:sz w:val="22"/>
                <w:szCs w:val="22"/>
              </w:rPr>
            </w:pPr>
            <w:r w:rsidRPr="0075413C">
              <w:rPr>
                <w:sz w:val="22"/>
                <w:szCs w:val="22"/>
              </w:rPr>
              <w:t>Semana siguiente a las ausencias.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4C8A" w14:textId="77777777" w:rsidR="0075413C" w:rsidRPr="0075413C" w:rsidRDefault="0075413C" w:rsidP="0075413C">
            <w:pPr>
              <w:spacing w:after="0" w:line="0" w:lineRule="atLeast"/>
              <w:jc w:val="both"/>
              <w:rPr>
                <w:sz w:val="22"/>
                <w:szCs w:val="22"/>
              </w:rPr>
            </w:pPr>
            <w:r w:rsidRPr="0075413C">
              <w:rPr>
                <w:sz w:val="22"/>
                <w:szCs w:val="22"/>
              </w:rPr>
              <w:t>Convivencia Educativa</w:t>
            </w:r>
          </w:p>
        </w:tc>
      </w:tr>
      <w:tr w:rsidR="0075413C" w:rsidRPr="0075413C" w14:paraId="6CF2DF79" w14:textId="77777777" w:rsidTr="0075413C">
        <w:trPr>
          <w:trHeight w:val="11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975A4" w14:textId="77777777" w:rsidR="0075413C" w:rsidRPr="0075413C" w:rsidRDefault="0075413C" w:rsidP="0075413C">
            <w:pPr>
              <w:spacing w:after="0" w:line="0" w:lineRule="atLeast"/>
              <w:jc w:val="both"/>
              <w:rPr>
                <w:sz w:val="22"/>
                <w:szCs w:val="22"/>
              </w:rPr>
            </w:pPr>
          </w:p>
          <w:p w14:paraId="1FD2CB6E" w14:textId="77777777" w:rsidR="0075413C" w:rsidRPr="0075413C" w:rsidRDefault="0075413C" w:rsidP="0075413C">
            <w:pPr>
              <w:spacing w:after="0" w:line="0" w:lineRule="atLeast"/>
              <w:jc w:val="both"/>
              <w:rPr>
                <w:sz w:val="22"/>
                <w:szCs w:val="22"/>
              </w:rPr>
            </w:pPr>
            <w:r w:rsidRPr="0075413C">
              <w:rPr>
                <w:b/>
                <w:bCs/>
                <w:sz w:val="22"/>
                <w:szCs w:val="22"/>
              </w:rPr>
              <w:t>Protección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2ECEF" w14:textId="77777777" w:rsidR="0075413C" w:rsidRPr="0075413C" w:rsidRDefault="0075413C" w:rsidP="0075413C">
            <w:pPr>
              <w:spacing w:after="0" w:line="0" w:lineRule="atLeast"/>
              <w:jc w:val="both"/>
              <w:rPr>
                <w:sz w:val="22"/>
                <w:szCs w:val="22"/>
              </w:rPr>
            </w:pPr>
            <w:r w:rsidRPr="0075413C">
              <w:rPr>
                <w:sz w:val="22"/>
                <w:szCs w:val="22"/>
              </w:rPr>
              <w:t>Al mantenerse las inasistencias y no cumplir con los compromisos, se realizará una medida de protección, a favor de los menores por posible vulneración de derechos.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892F2" w14:textId="77777777" w:rsidR="0075413C" w:rsidRPr="0075413C" w:rsidRDefault="0075413C" w:rsidP="0075413C">
            <w:pPr>
              <w:spacing w:after="0" w:line="0" w:lineRule="atLeast"/>
              <w:jc w:val="both"/>
              <w:rPr>
                <w:sz w:val="22"/>
                <w:szCs w:val="22"/>
              </w:rPr>
            </w:pPr>
            <w:r w:rsidRPr="0075413C">
              <w:rPr>
                <w:sz w:val="22"/>
                <w:szCs w:val="22"/>
              </w:rPr>
              <w:t>7 días y más sin justificación o compromiso.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A2D26" w14:textId="77777777" w:rsidR="0075413C" w:rsidRPr="0075413C" w:rsidRDefault="0075413C" w:rsidP="0075413C">
            <w:pPr>
              <w:spacing w:after="0" w:line="0" w:lineRule="atLeast"/>
              <w:jc w:val="both"/>
              <w:rPr>
                <w:sz w:val="22"/>
                <w:szCs w:val="22"/>
              </w:rPr>
            </w:pPr>
            <w:r w:rsidRPr="0075413C">
              <w:rPr>
                <w:sz w:val="22"/>
                <w:szCs w:val="22"/>
              </w:rPr>
              <w:t>Convivencia Educativa</w:t>
            </w:r>
          </w:p>
        </w:tc>
      </w:tr>
    </w:tbl>
    <w:p w14:paraId="3C74088A" w14:textId="77777777" w:rsidR="0075413C" w:rsidRPr="0075413C" w:rsidRDefault="0075413C" w:rsidP="0075413C">
      <w:pPr>
        <w:jc w:val="both"/>
      </w:pPr>
    </w:p>
    <w:p w14:paraId="4A78590B" w14:textId="77777777" w:rsidR="0075413C" w:rsidRPr="0075413C" w:rsidRDefault="0075413C" w:rsidP="0075413C">
      <w:pPr>
        <w:jc w:val="both"/>
      </w:pPr>
      <w:r w:rsidRPr="0075413C">
        <w:t>La comunidad educativa, a través de la Inspectoría General, Convivencia Educativa, y el Equipo Psicosocial, trabajará de manera conjunta con los apoderados para abordar las causas subyacentes de las ausencias, y ofrecer apoyo académico, emocional y social, en la medida de lo necesario. Sin embargo, si el estudiante no cumple con los compromisos establecidos, se podrá activar una medida de protección según el Reglamento Interno, con el objetivo de salvaguardar sus derechos y bienestar.</w:t>
      </w:r>
    </w:p>
    <w:p w14:paraId="05FCDCB5" w14:textId="77777777" w:rsidR="0075413C" w:rsidRPr="0075413C" w:rsidRDefault="0075413C" w:rsidP="0075413C">
      <w:pPr>
        <w:jc w:val="both"/>
      </w:pPr>
      <w:r w:rsidRPr="0075413C">
        <w:t xml:space="preserve">El compromiso de todos los actores involucrados es clave para lograr que nuestros estudiantes continúen su proceso educativo de manera regular, respetando los estándares establecidos en el Decreto Exento </w:t>
      </w:r>
      <w:proofErr w:type="spellStart"/>
      <w:r w:rsidRPr="0075413C">
        <w:t>N°</w:t>
      </w:r>
      <w:proofErr w:type="spellEnd"/>
      <w:r w:rsidRPr="0075413C">
        <w:t xml:space="preserve"> 67/2018 y fomentando un ambiente escolar inclusivo y protector.</w:t>
      </w:r>
    </w:p>
    <w:p w14:paraId="71352BC8" w14:textId="50ABB9D6" w:rsidR="0075413C" w:rsidRDefault="0075413C" w:rsidP="0075413C">
      <w:pPr>
        <w:jc w:val="both"/>
      </w:pPr>
      <w:r w:rsidRPr="0075413C">
        <w:br/>
      </w:r>
      <w:r w:rsidRPr="0075413C">
        <w:br/>
      </w:r>
      <w:r w:rsidRPr="0075413C">
        <w:br/>
      </w:r>
      <w:r w:rsidRPr="0075413C">
        <w:br/>
      </w:r>
      <w:r w:rsidRPr="0075413C">
        <w:br/>
      </w:r>
      <w:r w:rsidRPr="0075413C">
        <w:br/>
      </w:r>
      <w:r w:rsidRPr="0075413C">
        <w:br/>
      </w:r>
      <w:r w:rsidRPr="0075413C">
        <w:br/>
      </w:r>
      <w:r w:rsidRPr="0075413C">
        <w:br/>
      </w:r>
    </w:p>
    <w:sectPr w:rsidR="0075413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8101" w14:textId="77777777" w:rsidR="0075413C" w:rsidRDefault="0075413C" w:rsidP="0075413C">
      <w:pPr>
        <w:spacing w:after="0" w:line="240" w:lineRule="auto"/>
      </w:pPr>
      <w:r>
        <w:separator/>
      </w:r>
    </w:p>
  </w:endnote>
  <w:endnote w:type="continuationSeparator" w:id="0">
    <w:p w14:paraId="4C7D279B" w14:textId="77777777" w:rsidR="0075413C" w:rsidRDefault="0075413C" w:rsidP="0075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0424" w14:textId="77777777" w:rsidR="0075413C" w:rsidRDefault="0075413C" w:rsidP="0075413C">
      <w:pPr>
        <w:spacing w:after="0" w:line="240" w:lineRule="auto"/>
      </w:pPr>
      <w:r>
        <w:separator/>
      </w:r>
    </w:p>
  </w:footnote>
  <w:footnote w:type="continuationSeparator" w:id="0">
    <w:p w14:paraId="2A1C3DD3" w14:textId="77777777" w:rsidR="0075413C" w:rsidRDefault="0075413C" w:rsidP="0075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B0E4" w14:textId="77777777" w:rsidR="0075413C" w:rsidRPr="00242B94" w:rsidRDefault="0075413C" w:rsidP="0075413C">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4B780DAC" wp14:editId="57B1520E">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48A5C35E" wp14:editId="1A44D6A6">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0449FD37" w14:textId="77777777" w:rsidR="0075413C" w:rsidRPr="00242B94" w:rsidRDefault="0075413C" w:rsidP="0075413C">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173686F1" w14:textId="24CF40EC" w:rsidR="0075413C" w:rsidRPr="0075413C" w:rsidRDefault="0075413C" w:rsidP="0075413C">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53706"/>
    <w:multiLevelType w:val="multilevel"/>
    <w:tmpl w:val="211E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B5551"/>
    <w:multiLevelType w:val="multilevel"/>
    <w:tmpl w:val="B0CAD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B7785"/>
    <w:multiLevelType w:val="hybridMultilevel"/>
    <w:tmpl w:val="99E6B216"/>
    <w:lvl w:ilvl="0" w:tplc="340A000F">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49099899">
    <w:abstractNumId w:val="0"/>
  </w:num>
  <w:num w:numId="2" w16cid:durableId="811681763">
    <w:abstractNumId w:val="1"/>
  </w:num>
  <w:num w:numId="3" w16cid:durableId="50228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3C"/>
    <w:rsid w:val="0075413C"/>
    <w:rsid w:val="00F31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7978"/>
  <w15:chartTrackingRefBased/>
  <w15:docId w15:val="{E31CEBBF-6D11-4771-9A3B-CF609050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4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4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41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41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41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41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41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41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41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1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41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41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41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41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41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41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41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413C"/>
    <w:rPr>
      <w:rFonts w:eastAsiaTheme="majorEastAsia" w:cstheme="majorBidi"/>
      <w:color w:val="272727" w:themeColor="text1" w:themeTint="D8"/>
    </w:rPr>
  </w:style>
  <w:style w:type="paragraph" w:styleId="Ttulo">
    <w:name w:val="Title"/>
    <w:basedOn w:val="Normal"/>
    <w:next w:val="Normal"/>
    <w:link w:val="TtuloCar"/>
    <w:uiPriority w:val="10"/>
    <w:qFormat/>
    <w:rsid w:val="00754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41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41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41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413C"/>
    <w:pPr>
      <w:spacing w:before="160"/>
      <w:jc w:val="center"/>
    </w:pPr>
    <w:rPr>
      <w:i/>
      <w:iCs/>
      <w:color w:val="404040" w:themeColor="text1" w:themeTint="BF"/>
    </w:rPr>
  </w:style>
  <w:style w:type="character" w:customStyle="1" w:styleId="CitaCar">
    <w:name w:val="Cita Car"/>
    <w:basedOn w:val="Fuentedeprrafopredeter"/>
    <w:link w:val="Cita"/>
    <w:uiPriority w:val="29"/>
    <w:rsid w:val="0075413C"/>
    <w:rPr>
      <w:i/>
      <w:iCs/>
      <w:color w:val="404040" w:themeColor="text1" w:themeTint="BF"/>
    </w:rPr>
  </w:style>
  <w:style w:type="paragraph" w:styleId="Prrafodelista">
    <w:name w:val="List Paragraph"/>
    <w:basedOn w:val="Normal"/>
    <w:uiPriority w:val="34"/>
    <w:qFormat/>
    <w:rsid w:val="0075413C"/>
    <w:pPr>
      <w:ind w:left="720"/>
      <w:contextualSpacing/>
    </w:pPr>
  </w:style>
  <w:style w:type="character" w:styleId="nfasisintenso">
    <w:name w:val="Intense Emphasis"/>
    <w:basedOn w:val="Fuentedeprrafopredeter"/>
    <w:uiPriority w:val="21"/>
    <w:qFormat/>
    <w:rsid w:val="0075413C"/>
    <w:rPr>
      <w:i/>
      <w:iCs/>
      <w:color w:val="0F4761" w:themeColor="accent1" w:themeShade="BF"/>
    </w:rPr>
  </w:style>
  <w:style w:type="paragraph" w:styleId="Citadestacada">
    <w:name w:val="Intense Quote"/>
    <w:basedOn w:val="Normal"/>
    <w:next w:val="Normal"/>
    <w:link w:val="CitadestacadaCar"/>
    <w:uiPriority w:val="30"/>
    <w:qFormat/>
    <w:rsid w:val="00754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413C"/>
    <w:rPr>
      <w:i/>
      <w:iCs/>
      <w:color w:val="0F4761" w:themeColor="accent1" w:themeShade="BF"/>
    </w:rPr>
  </w:style>
  <w:style w:type="character" w:styleId="Referenciaintensa">
    <w:name w:val="Intense Reference"/>
    <w:basedOn w:val="Fuentedeprrafopredeter"/>
    <w:uiPriority w:val="32"/>
    <w:qFormat/>
    <w:rsid w:val="0075413C"/>
    <w:rPr>
      <w:b/>
      <w:bCs/>
      <w:smallCaps/>
      <w:color w:val="0F4761" w:themeColor="accent1" w:themeShade="BF"/>
      <w:spacing w:val="5"/>
    </w:rPr>
  </w:style>
  <w:style w:type="paragraph" w:styleId="Encabezado">
    <w:name w:val="header"/>
    <w:basedOn w:val="Normal"/>
    <w:link w:val="EncabezadoCar"/>
    <w:uiPriority w:val="99"/>
    <w:unhideWhenUsed/>
    <w:rsid w:val="00754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13C"/>
  </w:style>
  <w:style w:type="paragraph" w:styleId="Piedepgina">
    <w:name w:val="footer"/>
    <w:basedOn w:val="Normal"/>
    <w:link w:val="PiedepginaCar"/>
    <w:uiPriority w:val="99"/>
    <w:unhideWhenUsed/>
    <w:rsid w:val="00754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20258">
      <w:bodyDiv w:val="1"/>
      <w:marLeft w:val="0"/>
      <w:marRight w:val="0"/>
      <w:marTop w:val="0"/>
      <w:marBottom w:val="0"/>
      <w:divBdr>
        <w:top w:val="none" w:sz="0" w:space="0" w:color="auto"/>
        <w:left w:val="none" w:sz="0" w:space="0" w:color="auto"/>
        <w:bottom w:val="none" w:sz="0" w:space="0" w:color="auto"/>
        <w:right w:val="none" w:sz="0" w:space="0" w:color="auto"/>
      </w:divBdr>
      <w:divsChild>
        <w:div w:id="808671683">
          <w:marLeft w:val="-5"/>
          <w:marRight w:val="0"/>
          <w:marTop w:val="0"/>
          <w:marBottom w:val="0"/>
          <w:divBdr>
            <w:top w:val="none" w:sz="0" w:space="0" w:color="auto"/>
            <w:left w:val="none" w:sz="0" w:space="0" w:color="auto"/>
            <w:bottom w:val="none" w:sz="0" w:space="0" w:color="auto"/>
            <w:right w:val="none" w:sz="0" w:space="0" w:color="auto"/>
          </w:divBdr>
        </w:div>
      </w:divsChild>
    </w:div>
    <w:div w:id="1527331496">
      <w:bodyDiv w:val="1"/>
      <w:marLeft w:val="0"/>
      <w:marRight w:val="0"/>
      <w:marTop w:val="0"/>
      <w:marBottom w:val="0"/>
      <w:divBdr>
        <w:top w:val="none" w:sz="0" w:space="0" w:color="auto"/>
        <w:left w:val="none" w:sz="0" w:space="0" w:color="auto"/>
        <w:bottom w:val="none" w:sz="0" w:space="0" w:color="auto"/>
        <w:right w:val="none" w:sz="0" w:space="0" w:color="auto"/>
      </w:divBdr>
      <w:divsChild>
        <w:div w:id="958072538">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2612</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2025-03-28T15:49:00Z</dcterms:created>
  <dcterms:modified xsi:type="dcterms:W3CDTF">2025-03-28T15:52:00Z</dcterms:modified>
</cp:coreProperties>
</file>